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69" w:rsidRDefault="00305F69" w:rsidP="00305F69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305F69" w:rsidRDefault="00305F69" w:rsidP="00305F69">
      <w:pPr>
        <w:pStyle w:val="a0"/>
      </w:pPr>
    </w:p>
    <w:p w:rsidR="00305F69" w:rsidRDefault="00305F69" w:rsidP="00305F69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西安市住建领域挥发性有机物污染整治专项实施方案2023年工作任务清单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8"/>
        <w:gridCol w:w="941"/>
        <w:gridCol w:w="3452"/>
        <w:gridCol w:w="838"/>
        <w:gridCol w:w="1075"/>
        <w:gridCol w:w="1225"/>
        <w:gridCol w:w="862"/>
        <w:gridCol w:w="1200"/>
        <w:gridCol w:w="664"/>
        <w:gridCol w:w="664"/>
        <w:gridCol w:w="664"/>
        <w:gridCol w:w="664"/>
        <w:gridCol w:w="664"/>
        <w:gridCol w:w="664"/>
        <w:gridCol w:w="29"/>
        <w:gridCol w:w="641"/>
      </w:tblGrid>
      <w:tr w:rsidR="00305F69" w:rsidTr="00D95CB6">
        <w:trPr>
          <w:cantSplit/>
          <w:trHeight w:val="90"/>
          <w:tblHeader/>
          <w:jc w:val="center"/>
        </w:trPr>
        <w:tc>
          <w:tcPr>
            <w:tcW w:w="618" w:type="dxa"/>
            <w:vMerge w:val="restart"/>
            <w:noWrap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941" w:type="dxa"/>
            <w:vMerge w:val="restart"/>
            <w:noWrap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工作任务</w:t>
            </w:r>
          </w:p>
        </w:tc>
        <w:tc>
          <w:tcPr>
            <w:tcW w:w="3452" w:type="dxa"/>
            <w:vMerge w:val="restart"/>
            <w:noWrap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具体措施</w:t>
            </w:r>
          </w:p>
        </w:tc>
        <w:tc>
          <w:tcPr>
            <w:tcW w:w="838" w:type="dxa"/>
            <w:vMerge w:val="restart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牵头单位</w:t>
            </w:r>
          </w:p>
        </w:tc>
        <w:tc>
          <w:tcPr>
            <w:tcW w:w="1075" w:type="dxa"/>
            <w:vMerge w:val="restart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参与单位</w:t>
            </w:r>
          </w:p>
        </w:tc>
        <w:tc>
          <w:tcPr>
            <w:tcW w:w="1225" w:type="dxa"/>
            <w:vMerge w:val="restart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落实单位</w:t>
            </w:r>
          </w:p>
        </w:tc>
        <w:tc>
          <w:tcPr>
            <w:tcW w:w="862" w:type="dxa"/>
            <w:vMerge w:val="restart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</w:t>
            </w:r>
          </w:p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时限</w:t>
            </w:r>
          </w:p>
        </w:tc>
        <w:tc>
          <w:tcPr>
            <w:tcW w:w="5854" w:type="dxa"/>
            <w:gridSpan w:val="9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月度目标任务</w:t>
            </w:r>
          </w:p>
        </w:tc>
      </w:tr>
      <w:tr w:rsidR="00305F69" w:rsidTr="00D95CB6">
        <w:trPr>
          <w:cantSplit/>
          <w:trHeight w:val="90"/>
          <w:tblHeader/>
          <w:jc w:val="center"/>
        </w:trPr>
        <w:tc>
          <w:tcPr>
            <w:tcW w:w="618" w:type="dxa"/>
            <w:vMerge/>
            <w:noWrap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  <w:noWrap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  <w:vMerge/>
            <w:noWrap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vMerge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664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664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664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664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664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664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670" w:type="dxa"/>
            <w:gridSpan w:val="2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</w:p>
        </w:tc>
      </w:tr>
      <w:tr w:rsidR="00305F69" w:rsidTr="00D95CB6">
        <w:trPr>
          <w:cantSplit/>
          <w:trHeight w:val="1313"/>
          <w:jc w:val="center"/>
        </w:trPr>
        <w:tc>
          <w:tcPr>
            <w:tcW w:w="618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建立完善工作措施</w:t>
            </w:r>
          </w:p>
        </w:tc>
        <w:tc>
          <w:tcPr>
            <w:tcW w:w="3452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各区县、开发区建立完善工作台账和工作措施，对本单位所承担任务进一步细化、量化，明确管理责任人，划定管理目标</w:t>
            </w:r>
          </w:p>
        </w:tc>
        <w:tc>
          <w:tcPr>
            <w:tcW w:w="838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市装饰中心</w:t>
            </w:r>
          </w:p>
        </w:tc>
        <w:tc>
          <w:tcPr>
            <w:tcW w:w="1075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各区县、西咸新区、各开发区住建局</w:t>
            </w:r>
          </w:p>
        </w:tc>
        <w:tc>
          <w:tcPr>
            <w:tcW w:w="862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日前</w:t>
            </w:r>
          </w:p>
        </w:tc>
        <w:tc>
          <w:tcPr>
            <w:tcW w:w="1200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全面摸排，建立工作台账和工作措施</w:t>
            </w:r>
          </w:p>
        </w:tc>
        <w:tc>
          <w:tcPr>
            <w:tcW w:w="4654" w:type="dxa"/>
            <w:gridSpan w:val="8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及时有效对接相关部门，及时更新台账</w:t>
            </w:r>
          </w:p>
        </w:tc>
      </w:tr>
      <w:tr w:rsidR="00305F69" w:rsidTr="00D95CB6">
        <w:trPr>
          <w:cantSplit/>
          <w:trHeight w:val="1936"/>
          <w:jc w:val="center"/>
        </w:trPr>
        <w:tc>
          <w:tcPr>
            <w:tcW w:w="618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1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建立建材产品管控清单</w:t>
            </w:r>
          </w:p>
        </w:tc>
        <w:tc>
          <w:tcPr>
            <w:tcW w:w="3452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建设项目对施工中进场应用的涂料、胶粘剂等产品开展自查，自查结果应形成《建设工地涉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涂料、胶粘剂产品管控清单》</w:t>
            </w:r>
          </w:p>
        </w:tc>
        <w:tc>
          <w:tcPr>
            <w:tcW w:w="838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市装饰中心</w:t>
            </w:r>
          </w:p>
        </w:tc>
        <w:tc>
          <w:tcPr>
            <w:tcW w:w="1075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各区县、西咸新区、各开发区住建局</w:t>
            </w:r>
          </w:p>
        </w:tc>
        <w:tc>
          <w:tcPr>
            <w:tcW w:w="1225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各项目单位</w:t>
            </w:r>
          </w:p>
        </w:tc>
        <w:tc>
          <w:tcPr>
            <w:tcW w:w="862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日前</w:t>
            </w:r>
          </w:p>
        </w:tc>
        <w:tc>
          <w:tcPr>
            <w:tcW w:w="1200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各区县、西咸新区、各开发区住建局督促辖区项目单位全面摸排，认真制定清单</w:t>
            </w:r>
          </w:p>
        </w:tc>
        <w:tc>
          <w:tcPr>
            <w:tcW w:w="4654" w:type="dxa"/>
            <w:gridSpan w:val="8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各区县、开发区住建部门加强检查，对不符合要求的的建材产品依法查处</w:t>
            </w:r>
          </w:p>
        </w:tc>
      </w:tr>
      <w:tr w:rsidR="00305F69" w:rsidTr="00D95CB6">
        <w:trPr>
          <w:cantSplit/>
          <w:trHeight w:val="2174"/>
          <w:jc w:val="center"/>
        </w:trPr>
        <w:tc>
          <w:tcPr>
            <w:tcW w:w="618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1" w:type="dxa"/>
            <w:noWrap/>
            <w:vAlign w:val="center"/>
          </w:tcPr>
          <w:p w:rsidR="00305F69" w:rsidRDefault="00305F69" w:rsidP="00D95CB6">
            <w:pPr>
              <w:spacing w:line="320" w:lineRule="exact"/>
              <w:ind w:left="210" w:hangingChars="10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开展涉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材料检测</w:t>
            </w:r>
          </w:p>
        </w:tc>
        <w:tc>
          <w:tcPr>
            <w:tcW w:w="3452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市级住建局组织、指导材料检测机构对各区县、开发区所属建设项目使用的建筑材料进行随机抽样检测。各区县、开发区住建局结合辖区管理实际开展相应的检查或检测</w:t>
            </w:r>
          </w:p>
        </w:tc>
        <w:tc>
          <w:tcPr>
            <w:tcW w:w="838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市装饰中心</w:t>
            </w:r>
          </w:p>
        </w:tc>
        <w:tc>
          <w:tcPr>
            <w:tcW w:w="1075" w:type="dxa"/>
            <w:vAlign w:val="center"/>
          </w:tcPr>
          <w:p w:rsidR="00305F69" w:rsidRDefault="00305F69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各区县、西咸新区、各开发区住建局</w:t>
            </w:r>
          </w:p>
        </w:tc>
        <w:tc>
          <w:tcPr>
            <w:tcW w:w="862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月底前</w:t>
            </w:r>
          </w:p>
        </w:tc>
        <w:tc>
          <w:tcPr>
            <w:tcW w:w="1200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按政府采购程序确定材料检测服务机构</w:t>
            </w:r>
          </w:p>
        </w:tc>
        <w:tc>
          <w:tcPr>
            <w:tcW w:w="4013" w:type="dxa"/>
            <w:gridSpan w:val="7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组织每月</w:t>
            </w:r>
            <w:r>
              <w:rPr>
                <w:rFonts w:ascii="Times New Roman" w:hAnsi="Times New Roman"/>
              </w:rPr>
              <w:t>4-5</w:t>
            </w:r>
            <w:r>
              <w:rPr>
                <w:rFonts w:ascii="Times New Roman" w:hAnsi="Times New Roman"/>
              </w:rPr>
              <w:t>次的建设工地含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材料检测，及时通知问题单位整改</w:t>
            </w:r>
          </w:p>
        </w:tc>
        <w:tc>
          <w:tcPr>
            <w:tcW w:w="641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汇总检测结果</w:t>
            </w:r>
          </w:p>
        </w:tc>
      </w:tr>
    </w:tbl>
    <w:p w:rsidR="00305F69" w:rsidRDefault="00305F69" w:rsidP="00305F69">
      <w:pPr>
        <w:rPr>
          <w:rFonts w:ascii="Times New Roman" w:hAnsi="Times New Roman"/>
        </w:rPr>
        <w:sectPr w:rsidR="00305F69">
          <w:footerReference w:type="default" r:id="rId6"/>
          <w:pgSz w:w="16838" w:h="11906" w:orient="landscape"/>
          <w:pgMar w:top="1134" w:right="1134" w:bottom="1134" w:left="1134" w:header="851" w:footer="992" w:gutter="0"/>
          <w:cols w:space="720"/>
          <w:docGrid w:type="lines" w:linePitch="607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8"/>
        <w:gridCol w:w="941"/>
        <w:gridCol w:w="3452"/>
        <w:gridCol w:w="838"/>
        <w:gridCol w:w="1075"/>
        <w:gridCol w:w="1225"/>
        <w:gridCol w:w="862"/>
        <w:gridCol w:w="1200"/>
        <w:gridCol w:w="2666"/>
        <w:gridCol w:w="663"/>
        <w:gridCol w:w="684"/>
        <w:gridCol w:w="641"/>
      </w:tblGrid>
      <w:tr w:rsidR="00305F69" w:rsidTr="00D95CB6">
        <w:trPr>
          <w:cantSplit/>
          <w:trHeight w:val="90"/>
          <w:jc w:val="center"/>
        </w:trPr>
        <w:tc>
          <w:tcPr>
            <w:tcW w:w="618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41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落实建设项目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管控措施</w:t>
            </w:r>
          </w:p>
        </w:tc>
        <w:tc>
          <w:tcPr>
            <w:tcW w:w="3452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严格执行涂料、油漆、胶粘剂等产品的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含量限值标准，设计单位应加大项目中低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排放的工艺和低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含量材料的设计应用；建设、监理单位应严格执行材料入场检查验收签认制度，对不合格标准的材料必须退场替换；施工单位应采取有效施工保障措施，加强材料存放管理和废料收集处理，科学合理安排喷涂、粉刷施工时序</w:t>
            </w:r>
          </w:p>
        </w:tc>
        <w:tc>
          <w:tcPr>
            <w:tcW w:w="838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勘察设计处、市政处、市装饰中心</w:t>
            </w:r>
          </w:p>
        </w:tc>
        <w:tc>
          <w:tcPr>
            <w:tcW w:w="1075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局各扬尘督导组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各区县、西咸新区、各开发区住建局</w:t>
            </w:r>
          </w:p>
        </w:tc>
        <w:tc>
          <w:tcPr>
            <w:tcW w:w="1225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各项目单位</w:t>
            </w:r>
          </w:p>
        </w:tc>
        <w:tc>
          <w:tcPr>
            <w:tcW w:w="862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月底前常态化开展</w:t>
            </w:r>
          </w:p>
        </w:tc>
        <w:tc>
          <w:tcPr>
            <w:tcW w:w="1200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各项目自查，各区县细化完善在建工程台账</w:t>
            </w:r>
          </w:p>
        </w:tc>
        <w:tc>
          <w:tcPr>
            <w:tcW w:w="4654" w:type="dxa"/>
            <w:gridSpan w:val="4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各项目单位加强涂料和胶粘剂使用管理，开展施工现场作业环节监督检查；</w:t>
            </w:r>
          </w:p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各级住建部门督导项目单位科学开展防控和治理，按要求形成《建筑（市政）工程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管控检查督改情况表》并上报</w:t>
            </w:r>
          </w:p>
        </w:tc>
      </w:tr>
      <w:tr w:rsidR="00305F69" w:rsidTr="00D95CB6">
        <w:trPr>
          <w:cantSplit/>
          <w:trHeight w:val="651"/>
          <w:jc w:val="center"/>
        </w:trPr>
        <w:tc>
          <w:tcPr>
            <w:tcW w:w="618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1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重污染天气响应时期错时生产施工</w:t>
            </w:r>
          </w:p>
        </w:tc>
        <w:tc>
          <w:tcPr>
            <w:tcW w:w="3452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按照夏防期臭氧污染防治分级管控工作要求，在我市通报的高温低湿重污染天气响应时期，必须迅速调整施工计划，避开每日臭氧污染高值时间</w:t>
            </w:r>
          </w:p>
        </w:tc>
        <w:tc>
          <w:tcPr>
            <w:tcW w:w="838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市政处、市装饰中心</w:t>
            </w:r>
          </w:p>
        </w:tc>
        <w:tc>
          <w:tcPr>
            <w:tcW w:w="1075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市政处、局各督导组，各区县、西咸新区、各开发区住建局</w:t>
            </w:r>
          </w:p>
        </w:tc>
        <w:tc>
          <w:tcPr>
            <w:tcW w:w="1225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各项目单位</w:t>
            </w:r>
          </w:p>
        </w:tc>
        <w:tc>
          <w:tcPr>
            <w:tcW w:w="862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夏防期</w:t>
            </w:r>
          </w:p>
        </w:tc>
        <w:tc>
          <w:tcPr>
            <w:tcW w:w="3866" w:type="dxa"/>
            <w:gridSpan w:val="2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当收到错峰生产作业要求时，督导各自主管项目落实错峰作业要求</w:t>
            </w:r>
          </w:p>
        </w:tc>
        <w:tc>
          <w:tcPr>
            <w:tcW w:w="663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684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641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305F69" w:rsidTr="00D95CB6">
        <w:trPr>
          <w:cantSplit/>
          <w:trHeight w:val="2121"/>
          <w:jc w:val="center"/>
        </w:trPr>
        <w:tc>
          <w:tcPr>
            <w:tcW w:w="618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1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开展建筑领域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治理专项宣传</w:t>
            </w:r>
          </w:p>
        </w:tc>
        <w:tc>
          <w:tcPr>
            <w:tcW w:w="3452" w:type="dxa"/>
            <w:noWrap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各单位及时传达推送空气质量、重污染天气应急信息，宣传介绍政策法规和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防控知识，引导参建企业和人员自觉承担起大气污染防治责任</w:t>
            </w:r>
          </w:p>
        </w:tc>
        <w:tc>
          <w:tcPr>
            <w:tcW w:w="838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勘察设计处、市政处、市装饰中心</w:t>
            </w:r>
          </w:p>
        </w:tc>
        <w:tc>
          <w:tcPr>
            <w:tcW w:w="1075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局各督导组</w:t>
            </w:r>
          </w:p>
        </w:tc>
        <w:tc>
          <w:tcPr>
            <w:tcW w:w="1225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各区县、西咸新区、各开发区住建局</w:t>
            </w:r>
          </w:p>
        </w:tc>
        <w:tc>
          <w:tcPr>
            <w:tcW w:w="862" w:type="dxa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常态化开展</w:t>
            </w:r>
          </w:p>
        </w:tc>
        <w:tc>
          <w:tcPr>
            <w:tcW w:w="5854" w:type="dxa"/>
            <w:gridSpan w:val="5"/>
            <w:vAlign w:val="center"/>
          </w:tcPr>
          <w:p w:rsidR="00305F69" w:rsidRDefault="00305F69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结合日常检查，常态化开展</w:t>
            </w:r>
            <w:r>
              <w:rPr>
                <w:rFonts w:ascii="Times New Roman" w:hAnsi="Times New Roman" w:hint="eastAsia"/>
              </w:rPr>
              <w:t>宣传引导</w:t>
            </w:r>
          </w:p>
        </w:tc>
      </w:tr>
    </w:tbl>
    <w:p w:rsidR="00893C10" w:rsidRPr="00305F69" w:rsidRDefault="00893C10"/>
    <w:sectPr w:rsidR="00893C10" w:rsidRPr="00305F69" w:rsidSect="00305F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10" w:rsidRDefault="00893C10" w:rsidP="00305F69">
      <w:r>
        <w:separator/>
      </w:r>
    </w:p>
  </w:endnote>
  <w:endnote w:type="continuationSeparator" w:id="1">
    <w:p w:rsidR="00893C10" w:rsidRDefault="00893C10" w:rsidP="0030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69" w:rsidRDefault="00305F69">
    <w:pPr>
      <w:pStyle w:val="a5"/>
      <w:framePr w:wrap="around" w:vAnchor="text" w:hAnchor="page" w:x="14205" w:y="34"/>
      <w:ind w:rightChars="110" w:right="231"/>
      <w:jc w:val="right"/>
      <w:rPr>
        <w:rStyle w:val="a6"/>
        <w:rFonts w:ascii="宋体" w:eastAsia="宋体" w:hAnsi="宋体"/>
        <w:sz w:val="28"/>
      </w:rPr>
    </w:pPr>
    <w:r>
      <w:rPr>
        <w:rStyle w:val="a6"/>
        <w:rFonts w:ascii="宋体" w:eastAsia="宋体" w:hAnsi="宋体"/>
        <w:sz w:val="28"/>
      </w:rPr>
      <w:t>—</w:t>
    </w:r>
    <w:r>
      <w:rPr>
        <w:rStyle w:val="a6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 w:rsidR="00B32275">
      <w:rPr>
        <w:rStyle w:val="a6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 xml:space="preserve"> </w:t>
    </w:r>
    <w:r>
      <w:rPr>
        <w:rStyle w:val="a6"/>
        <w:rFonts w:ascii="宋体" w:eastAsia="宋体" w:hAnsi="宋体"/>
        <w:sz w:val="28"/>
      </w:rPr>
      <w:t>—</w:t>
    </w:r>
  </w:p>
  <w:p w:rsidR="00305F69" w:rsidRDefault="00305F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10" w:rsidRDefault="00893C10" w:rsidP="00305F69">
      <w:r>
        <w:separator/>
      </w:r>
    </w:p>
  </w:footnote>
  <w:footnote w:type="continuationSeparator" w:id="1">
    <w:p w:rsidR="00893C10" w:rsidRDefault="00893C10" w:rsidP="00305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F69"/>
    <w:rsid w:val="00305F69"/>
    <w:rsid w:val="00893C10"/>
    <w:rsid w:val="00B3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5F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05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05F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05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305F69"/>
    <w:rPr>
      <w:sz w:val="18"/>
      <w:szCs w:val="18"/>
    </w:rPr>
  </w:style>
  <w:style w:type="character" w:styleId="a6">
    <w:name w:val="page number"/>
    <w:basedOn w:val="a1"/>
    <w:uiPriority w:val="99"/>
    <w:qFormat/>
    <w:rsid w:val="00305F69"/>
    <w:rPr>
      <w:rFonts w:cs="Times New Roman"/>
    </w:rPr>
  </w:style>
  <w:style w:type="character" w:customStyle="1" w:styleId="Char1">
    <w:name w:val="正文文本 Char"/>
    <w:link w:val="a0"/>
    <w:uiPriority w:val="99"/>
    <w:qFormat/>
    <w:rsid w:val="00305F69"/>
    <w:rPr>
      <w:rFonts w:ascii="Calibri" w:hAnsi="Calibri"/>
      <w:szCs w:val="24"/>
    </w:rPr>
  </w:style>
  <w:style w:type="paragraph" w:styleId="a0">
    <w:name w:val="Body Text"/>
    <w:basedOn w:val="a"/>
    <w:next w:val="a"/>
    <w:link w:val="Char1"/>
    <w:uiPriority w:val="99"/>
    <w:qFormat/>
    <w:rsid w:val="00305F69"/>
    <w:pPr>
      <w:spacing w:after="120"/>
    </w:pPr>
    <w:rPr>
      <w:rFonts w:eastAsiaTheme="minorEastAsia" w:cstheme="minorBidi"/>
    </w:rPr>
  </w:style>
  <w:style w:type="character" w:customStyle="1" w:styleId="Char10">
    <w:name w:val="正文文本 Char1"/>
    <w:basedOn w:val="a1"/>
    <w:link w:val="a0"/>
    <w:uiPriority w:val="99"/>
    <w:semiHidden/>
    <w:rsid w:val="00305F6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2023-05-11T01:14:00Z</dcterms:created>
  <dcterms:modified xsi:type="dcterms:W3CDTF">2023-05-11T01:15:00Z</dcterms:modified>
</cp:coreProperties>
</file>