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15"/>
          <w:szCs w:val="15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《建筑与市政工程施工质量控制通用规范》GB55032-2022对工程资料的影响、要求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  <w:t xml:space="preserve">培训班回执表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right"/>
        <w:textAlignment w:val="baseline"/>
        <w:rPr>
          <w:rFonts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4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  <w:t>（加盖单位公章）</w:t>
      </w:r>
    </w:p>
    <w:tbl>
      <w:tblPr>
        <w:tblStyle w:val="2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both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shd w:val="clear" w:color="auto" w:fill="FFFFFF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color w:val="333333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82220020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5NGQ2NDFmM2FjMDEzZDQ1Y2JlMjYxNzM0NjcifQ=="/>
  </w:docVars>
  <w:rsids>
    <w:rsidRoot w:val="262063A6"/>
    <w:rsid w:val="262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2024-05-31T00:15:00Z</dcterms:created>
  <dc:creator>Administrator</dc:creator>
  <cp:lastModifiedBy>Administrator</cp:lastModifiedBy>
  <dcterms:modified xsi:type="dcterms:W3CDTF">2024-05-31T00:15:57Z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55EC19668C5A41C29D450920C89BEB11_11</vt:lpwstr>
  </property>
</Properties>
</file>